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________С.</w:t>
      </w:r>
      <w:r w:rsidR="00E53F4D">
        <w:rPr>
          <w:rFonts w:ascii="Times New Roman" w:eastAsia="Calibri" w:hAnsi="Times New Roman" w:cs="Times New Roman"/>
          <w:bCs/>
          <w:sz w:val="28"/>
          <w:szCs w:val="28"/>
        </w:rPr>
        <w:t>Н.Большаков</w:t>
      </w:r>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67A8ADF9"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A12A5B">
        <w:rPr>
          <w:b/>
          <w:bCs/>
          <w:sz w:val="28"/>
          <w:szCs w:val="28"/>
        </w:rPr>
        <w:t>40.02.01 Право и организация социального обеспечения</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6E6A0FC1" w14:textId="4D270F82" w:rsidR="00667106" w:rsidRDefault="00667106" w:rsidP="00A12A5B">
      <w:pPr>
        <w:pStyle w:val="Default"/>
        <w:spacing w:line="276" w:lineRule="auto"/>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73FCF4C5" w:rsidR="00BD5598" w:rsidRDefault="00BD5598" w:rsidP="00BD5598">
      <w:pPr>
        <w:pStyle w:val="Default"/>
        <w:spacing w:line="276" w:lineRule="auto"/>
        <w:ind w:left="426"/>
        <w:jc w:val="center"/>
        <w:rPr>
          <w:b/>
          <w:bCs/>
          <w:sz w:val="28"/>
          <w:szCs w:val="28"/>
        </w:rPr>
      </w:pPr>
      <w:r>
        <w:rPr>
          <w:b/>
          <w:bCs/>
          <w:sz w:val="28"/>
          <w:szCs w:val="28"/>
        </w:rPr>
        <w:t>202</w:t>
      </w:r>
      <w:r w:rsidR="00C83AA4">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3028DB8F" w:rsidR="00D43FA8" w:rsidRPr="00D8127B" w:rsidRDefault="006F25AF" w:rsidP="005D72CF">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C83AA4">
              <w:rPr>
                <w:bCs/>
              </w:rPr>
              <w:t>2</w:t>
            </w:r>
            <w:r w:rsidR="008905AA" w:rsidRPr="008905AA">
              <w:rPr>
                <w:bCs/>
              </w:rPr>
              <w:t xml:space="preserve"> – 202</w:t>
            </w:r>
            <w:r w:rsidR="00C83AA4">
              <w:rPr>
                <w:bCs/>
              </w:rPr>
              <w:t>6</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lastRenderedPageBreak/>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деятельностными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Сформированность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5BBB92F7"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r w:rsidR="00E939AD" w:rsidRPr="00422D96">
        <w:t>А.С.Пушкина»</w:t>
      </w:r>
      <w:r w:rsidRPr="00422D96">
        <w:t xml:space="preserve"> по   специальности  </w:t>
      </w:r>
      <w:r w:rsidR="00A12A5B">
        <w:t>40.02.01 Право и организация социального обеспечения</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(волонтерства)»;</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(Рособрнадзор)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природосообразности,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культуросообразности образовательной среды, ценностно-смыслового наполнения содержания воспитательной системы и организационной культуры Университета, гуманизации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приоритета инициативности, самостоятельности, самореализации обучающихся в учебной и внеучебной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А.С.Пушкина»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5)формирование  ответственного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знаний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Зам.директора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илллюстративных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Заведющий УМО, преподаватель организатор основ безопасности жизнедеятель-ности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мероприятия,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 xml:space="preserve">уховно-нравственное  </w:t>
      </w:r>
      <w:r w:rsidR="00624C32" w:rsidRPr="00624C32">
        <w:rPr>
          <w:b/>
        </w:rPr>
        <w:t>воспитание</w:t>
      </w:r>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готовности и способности к самостоятельной, творческой  деятельности</w:t>
      </w:r>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положительного  </w:t>
            </w:r>
            <w:r w:rsidR="00554A6B" w:rsidRPr="00554A6B">
              <w:rPr>
                <w:rFonts w:ascii="Times New Roman" w:hAnsi="Times New Roman" w:cs="Times New Roman"/>
                <w:sz w:val="20"/>
                <w:szCs w:val="20"/>
              </w:rPr>
              <w:t>эмоционального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Конкурс  чтецов:</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компетенции обучающихся,  творческого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общеэстетических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возможностей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Конкурс  чтецов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компетенции обучающихся,  творческого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проведение </w:t>
            </w:r>
            <w:r w:rsidR="00EE56E2">
              <w:rPr>
                <w:rFonts w:ascii="Times New Roman" w:eastAsia="Times New Roman" w:hAnsi="Times New Roman" w:cs="Times New Roman"/>
                <w:sz w:val="20"/>
                <w:szCs w:val="20"/>
                <w:lang w:eastAsia="ru-RU"/>
              </w:rPr>
              <w:t xml:space="preserve"> праздника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Зам.директора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Зав. практикой, председатили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профмастерства.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Зам.директора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0F4C9BCE"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r w:rsidR="00906BA3" w:rsidRPr="00371EFF">
        <w:rPr>
          <w:rFonts w:ascii="Times New Roman" w:hAnsi="Times New Roman"/>
          <w:b/>
          <w:sz w:val="24"/>
          <w:szCs w:val="24"/>
        </w:rPr>
        <w:t>«Экологическое</w:t>
      </w:r>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29E27814"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r w:rsidR="00906BA3" w:rsidRPr="00371EFF">
        <w:rPr>
          <w:rFonts w:ascii="Times New Roman" w:hAnsi="Times New Roman"/>
          <w:b/>
          <w:sz w:val="24"/>
          <w:szCs w:val="24"/>
        </w:rPr>
        <w:t>«Физическое</w:t>
      </w:r>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табакокурения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Укрепление здоровья обучающихся,,</w:t>
            </w:r>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Изучение основ медицинских знаний, здоровьесберегающих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проектов здоровьесберегающей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Зам.директора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соц.педагог,</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табакокурения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08F533BA"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r w:rsidR="00906BA3">
        <w:t>интересов,</w:t>
      </w:r>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здоровьесбережения;</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7812E087"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бережное отноше</w:t>
            </w:r>
            <w:r w:rsidR="00906BA3">
              <w:t>ние к природе, земле, животным;</w:t>
            </w:r>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397324C6" w:rsidR="00DF2158" w:rsidRDefault="00DF2158" w:rsidP="00DF2158">
            <w:pPr>
              <w:pStyle w:val="a7"/>
              <w:tabs>
                <w:tab w:val="left" w:pos="1276"/>
              </w:tabs>
              <w:spacing w:before="0" w:beforeAutospacing="0" w:after="0" w:afterAutospacing="0"/>
              <w:ind w:left="172" w:right="-6" w:hanging="172"/>
            </w:pPr>
            <w:r>
              <w:t xml:space="preserve"> </w:t>
            </w:r>
            <w:r w:rsidRPr="00BE5F94">
              <w:t>-толерантное сознание и поведение в поликультурном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негативное отношение к табакокурению,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906BA3" w:rsidRDefault="00906BA3" w:rsidP="008905AA">
                            <w:pPr>
                              <w:rPr>
                                <w:rFonts w:ascii="Times New Roman" w:hAnsi="Times New Roman"/>
                                <w:color w:val="000000"/>
                                <w:sz w:val="24"/>
                                <w:szCs w:val="24"/>
                              </w:rPr>
                            </w:pPr>
                          </w:p>
                          <w:p w14:paraId="199DF006" w14:textId="77777777" w:rsidR="00906BA3" w:rsidRPr="00611D27" w:rsidRDefault="00906BA3"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906BA3" w:rsidRDefault="00906BA3" w:rsidP="008905AA">
                      <w:pPr>
                        <w:rPr>
                          <w:rFonts w:ascii="Times New Roman" w:hAnsi="Times New Roman"/>
                          <w:color w:val="000000"/>
                          <w:sz w:val="24"/>
                          <w:szCs w:val="24"/>
                        </w:rPr>
                      </w:pPr>
                    </w:p>
                    <w:p w14:paraId="199DF006" w14:textId="77777777" w:rsidR="00906BA3" w:rsidRPr="00611D27" w:rsidRDefault="00906BA3"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26B98A4D" w:rsidR="008905AA" w:rsidRPr="008905AA" w:rsidRDefault="008905AA" w:rsidP="00A12A5B">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A12A5B" w:rsidRPr="00A12A5B">
        <w:rPr>
          <w:rFonts w:ascii="Times New Roman" w:hAnsi="Times New Roman" w:cs="Times New Roman"/>
          <w:b/>
          <w:sz w:val="28"/>
          <w:szCs w:val="28"/>
        </w:rPr>
        <w:t>40.02.01 Право и организация социального обеспечения</w:t>
      </w:r>
    </w:p>
    <w:p w14:paraId="594262D1" w14:textId="3A54AF1A"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8905AA">
        <w:rPr>
          <w:rFonts w:ascii="Times New Roman" w:hAnsi="Times New Roman"/>
          <w:bCs/>
          <w:sz w:val="24"/>
          <w:szCs w:val="24"/>
        </w:rPr>
        <w:br/>
        <w:t>на период обучения 202</w:t>
      </w:r>
      <w:r w:rsidR="00C83AA4">
        <w:rPr>
          <w:rFonts w:ascii="Times New Roman" w:hAnsi="Times New Roman"/>
          <w:bCs/>
          <w:sz w:val="24"/>
          <w:szCs w:val="24"/>
        </w:rPr>
        <w:t>2 – 2026</w:t>
      </w:r>
      <w:bookmarkStart w:id="6" w:name="_GoBack"/>
      <w:bookmarkEnd w:id="6"/>
      <w:r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2237BA25" w:rsidR="008905AA"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EECF09C" w14:textId="77777777" w:rsidR="00906BA3" w:rsidRPr="00C627DD" w:rsidRDefault="00906BA3"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72C67E85"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C83AA4">
        <w:rPr>
          <w:rFonts w:ascii="Times New Roman" w:hAnsi="Times New Roman"/>
          <w:b/>
          <w:kern w:val="2"/>
          <w:sz w:val="24"/>
          <w:szCs w:val="24"/>
          <w:lang w:eastAsia="ko-KR"/>
        </w:rPr>
        <w:t>2</w:t>
      </w:r>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906BA3">
        <w:tc>
          <w:tcPr>
            <w:tcW w:w="851" w:type="dxa"/>
            <w:shd w:val="clear" w:color="auto" w:fill="auto"/>
            <w:vAlign w:val="center"/>
          </w:tcPr>
          <w:p w14:paraId="7DD05155"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lastRenderedPageBreak/>
              <w:t>Дата</w:t>
            </w:r>
          </w:p>
        </w:tc>
        <w:tc>
          <w:tcPr>
            <w:tcW w:w="3685" w:type="dxa"/>
            <w:shd w:val="clear" w:color="auto" w:fill="auto"/>
            <w:vAlign w:val="center"/>
          </w:tcPr>
          <w:p w14:paraId="3BCD2FD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b/>
                <w:lang w:val="en-US"/>
              </w:rPr>
              <w:t>Содержание и формы деятельности</w:t>
            </w:r>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b/>
                <w:lang w:val="en-US"/>
              </w:rPr>
              <w:t>Участники</w:t>
            </w:r>
          </w:p>
        </w:tc>
        <w:tc>
          <w:tcPr>
            <w:tcW w:w="1985" w:type="dxa"/>
            <w:gridSpan w:val="2"/>
            <w:vAlign w:val="center"/>
          </w:tcPr>
          <w:p w14:paraId="3F4A4A1C"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Место проведения</w:t>
            </w:r>
          </w:p>
        </w:tc>
        <w:tc>
          <w:tcPr>
            <w:tcW w:w="2977" w:type="dxa"/>
            <w:shd w:val="clear" w:color="auto" w:fill="auto"/>
            <w:vAlign w:val="center"/>
          </w:tcPr>
          <w:p w14:paraId="2009FBF3"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Ответственные</w:t>
            </w:r>
          </w:p>
        </w:tc>
        <w:tc>
          <w:tcPr>
            <w:tcW w:w="1322" w:type="dxa"/>
            <w:gridSpan w:val="2"/>
            <w:shd w:val="clear" w:color="auto" w:fill="auto"/>
            <w:vAlign w:val="center"/>
          </w:tcPr>
          <w:p w14:paraId="3A1362B5" w14:textId="77777777" w:rsidR="008905AA" w:rsidRPr="00906DA3" w:rsidRDefault="008905AA" w:rsidP="00906BA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Наименование модуля</w:t>
            </w:r>
          </w:p>
        </w:tc>
      </w:tr>
      <w:tr w:rsidR="008905AA" w:rsidRPr="00906DA3" w14:paraId="74AE1E74" w14:textId="77777777" w:rsidTr="00906BA3">
        <w:tc>
          <w:tcPr>
            <w:tcW w:w="15309" w:type="dxa"/>
            <w:gridSpan w:val="10"/>
            <w:vAlign w:val="center"/>
          </w:tcPr>
          <w:p w14:paraId="21EF4EC8"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906BA3">
        <w:trPr>
          <w:trHeight w:val="2298"/>
        </w:trPr>
        <w:tc>
          <w:tcPr>
            <w:tcW w:w="851" w:type="dxa"/>
            <w:shd w:val="clear" w:color="auto" w:fill="auto"/>
            <w:vAlign w:val="center"/>
          </w:tcPr>
          <w:p w14:paraId="56D3332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День знаний</w:t>
            </w:r>
          </w:p>
        </w:tc>
        <w:tc>
          <w:tcPr>
            <w:tcW w:w="2268" w:type="dxa"/>
            <w:gridSpan w:val="2"/>
            <w:shd w:val="clear" w:color="auto" w:fill="auto"/>
            <w:vAlign w:val="center"/>
          </w:tcPr>
          <w:p w14:paraId="47F242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 xml:space="preserve"> Зам.директор</w:t>
            </w:r>
            <w:r w:rsidRPr="00906DA3">
              <w:rPr>
                <w:rFonts w:ascii="Times New Roman" w:hAnsi="Times New Roman"/>
              </w:rPr>
              <w:t>а</w:t>
            </w:r>
            <w:r>
              <w:rPr>
                <w:rFonts w:ascii="Times New Roman" w:hAnsi="Times New Roman"/>
              </w:rPr>
              <w:t>по УВР</w:t>
            </w:r>
          </w:p>
        </w:tc>
        <w:tc>
          <w:tcPr>
            <w:tcW w:w="1322" w:type="dxa"/>
            <w:gridSpan w:val="2"/>
            <w:shd w:val="clear" w:color="auto" w:fill="auto"/>
            <w:vAlign w:val="center"/>
          </w:tcPr>
          <w:p w14:paraId="7D9CCD88"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906BA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906BA3">
        <w:trPr>
          <w:trHeight w:val="2298"/>
        </w:trPr>
        <w:tc>
          <w:tcPr>
            <w:tcW w:w="851" w:type="dxa"/>
            <w:shd w:val="clear" w:color="auto" w:fill="auto"/>
            <w:vAlign w:val="center"/>
          </w:tcPr>
          <w:p w14:paraId="6D993F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t>2 курса</w:t>
            </w:r>
          </w:p>
        </w:tc>
        <w:tc>
          <w:tcPr>
            <w:tcW w:w="1985" w:type="dxa"/>
            <w:gridSpan w:val="2"/>
            <w:shd w:val="clear" w:color="auto" w:fill="auto"/>
            <w:vAlign w:val="center"/>
          </w:tcPr>
          <w:p w14:paraId="436C5BB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2F069A2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5CB021A6" w14:textId="77777777" w:rsidTr="00906BA3">
        <w:trPr>
          <w:trHeight w:val="1700"/>
        </w:trPr>
        <w:tc>
          <w:tcPr>
            <w:tcW w:w="851" w:type="dxa"/>
            <w:shd w:val="clear" w:color="auto" w:fill="auto"/>
            <w:vAlign w:val="center"/>
          </w:tcPr>
          <w:p w14:paraId="23B14DB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курса</w:t>
            </w:r>
          </w:p>
        </w:tc>
        <w:tc>
          <w:tcPr>
            <w:tcW w:w="1985" w:type="dxa"/>
            <w:gridSpan w:val="2"/>
            <w:shd w:val="clear" w:color="auto" w:fill="auto"/>
            <w:vAlign w:val="center"/>
          </w:tcPr>
          <w:p w14:paraId="11F89A39"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0941498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p w14:paraId="140E6AE5" w14:textId="77777777" w:rsidR="008905AA" w:rsidRPr="00906DA3" w:rsidRDefault="008905AA" w:rsidP="00906BA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0827A10C"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466D3C93" w14:textId="77777777" w:rsidTr="00906BA3">
        <w:trPr>
          <w:trHeight w:val="2298"/>
        </w:trPr>
        <w:tc>
          <w:tcPr>
            <w:tcW w:w="851" w:type="dxa"/>
            <w:shd w:val="clear" w:color="auto" w:fill="auto"/>
            <w:vAlign w:val="center"/>
          </w:tcPr>
          <w:p w14:paraId="6C07BC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t>3 курса</w:t>
            </w:r>
          </w:p>
        </w:tc>
        <w:tc>
          <w:tcPr>
            <w:tcW w:w="1985" w:type="dxa"/>
            <w:gridSpan w:val="2"/>
            <w:shd w:val="clear" w:color="auto" w:fill="auto"/>
            <w:vAlign w:val="center"/>
          </w:tcPr>
          <w:p w14:paraId="0FC5A5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2C6E7A9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169C836C" w14:textId="77777777" w:rsidTr="00906BA3">
        <w:trPr>
          <w:trHeight w:val="1662"/>
        </w:trPr>
        <w:tc>
          <w:tcPr>
            <w:tcW w:w="851" w:type="dxa"/>
            <w:shd w:val="clear" w:color="auto" w:fill="auto"/>
            <w:vAlign w:val="center"/>
          </w:tcPr>
          <w:p w14:paraId="67B9BB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 xml:space="preserve">Обучающиеся </w:t>
            </w:r>
            <w:r w:rsidRPr="00906DA3">
              <w:rPr>
                <w:rFonts w:ascii="Times New Roman" w:hAnsi="Times New Roman"/>
                <w:color w:val="000000"/>
              </w:rPr>
              <w:t>1,2,</w:t>
            </w:r>
            <w:r w:rsidRPr="00906DA3">
              <w:rPr>
                <w:rFonts w:ascii="Times New Roman" w:hAnsi="Times New Roman"/>
                <w:color w:val="000000"/>
                <w:lang w:val="en-US"/>
              </w:rPr>
              <w:br/>
              <w:t>3 курс</w:t>
            </w:r>
            <w:r w:rsidRPr="00906DA3">
              <w:rPr>
                <w:rFonts w:ascii="Times New Roman" w:hAnsi="Times New Roman"/>
                <w:color w:val="000000"/>
              </w:rPr>
              <w:t>ов</w:t>
            </w:r>
          </w:p>
        </w:tc>
        <w:tc>
          <w:tcPr>
            <w:tcW w:w="1985" w:type="dxa"/>
            <w:gridSpan w:val="2"/>
            <w:shd w:val="clear" w:color="auto" w:fill="auto"/>
            <w:vAlign w:val="center"/>
          </w:tcPr>
          <w:p w14:paraId="7D19B31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5DF97C35"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19F97EE2" w14:textId="77777777" w:rsidTr="00906BA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курса</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906BA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5A36DB92"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lastRenderedPageBreak/>
              <w:t xml:space="preserve">Обучающиеся </w:t>
            </w:r>
            <w:r w:rsidRPr="00906DA3">
              <w:rPr>
                <w:rFonts w:ascii="Times New Roman" w:hAnsi="Times New Roman"/>
                <w:color w:val="000000"/>
                <w:lang w:val="en-US"/>
              </w:rPr>
              <w:br/>
              <w:t>2,3 курс</w:t>
            </w:r>
            <w:r w:rsidRPr="00906DA3">
              <w:rPr>
                <w:rFonts w:ascii="Times New Roman" w:hAnsi="Times New Roman"/>
                <w:color w:val="000000"/>
              </w:rPr>
              <w:t>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906BA3">
        <w:tc>
          <w:tcPr>
            <w:tcW w:w="15309" w:type="dxa"/>
            <w:gridSpan w:val="10"/>
            <w:tcBorders>
              <w:top w:val="single" w:sz="4" w:space="0" w:color="000000"/>
            </w:tcBorders>
            <w:shd w:val="clear" w:color="auto" w:fill="auto"/>
            <w:vAlign w:val="center"/>
          </w:tcPr>
          <w:p w14:paraId="059260F6"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906BA3">
        <w:tc>
          <w:tcPr>
            <w:tcW w:w="851" w:type="dxa"/>
            <w:shd w:val="clear" w:color="auto" w:fill="auto"/>
            <w:vAlign w:val="center"/>
          </w:tcPr>
          <w:p w14:paraId="66D211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906BA3">
        <w:tc>
          <w:tcPr>
            <w:tcW w:w="851" w:type="dxa"/>
            <w:shd w:val="clear" w:color="auto" w:fill="auto"/>
            <w:vAlign w:val="center"/>
          </w:tcPr>
          <w:p w14:paraId="769861E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7777777" w:rsidR="008905AA" w:rsidRPr="00906DA3" w:rsidRDefault="008905AA" w:rsidP="00906BA3">
            <w:pPr>
              <w:spacing w:after="0"/>
              <w:jc w:val="center"/>
              <w:rPr>
                <w:rFonts w:ascii="Times New Roman" w:hAnsi="Times New Roman"/>
              </w:rPr>
            </w:pPr>
            <w:r w:rsidRPr="00906DA3">
              <w:rPr>
                <w:rFonts w:ascii="Times New Roman" w:hAnsi="Times New Roman"/>
              </w:rPr>
              <w:t>3,4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906BA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26FF5670" w14:textId="77777777" w:rsidTr="00906BA3">
        <w:tc>
          <w:tcPr>
            <w:tcW w:w="851" w:type="dxa"/>
            <w:tcBorders>
              <w:bottom w:val="single" w:sz="4" w:space="0" w:color="000000"/>
            </w:tcBorders>
            <w:shd w:val="clear" w:color="auto" w:fill="auto"/>
            <w:vAlign w:val="center"/>
          </w:tcPr>
          <w:p w14:paraId="0104670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C638FCA"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7CA3F96D" w14:textId="77777777" w:rsidTr="00906BA3">
        <w:tc>
          <w:tcPr>
            <w:tcW w:w="851" w:type="dxa"/>
            <w:shd w:val="clear" w:color="auto" w:fill="auto"/>
            <w:vAlign w:val="center"/>
          </w:tcPr>
          <w:p w14:paraId="4290310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Учебное занятие</w:t>
            </w:r>
          </w:p>
        </w:tc>
      </w:tr>
      <w:tr w:rsidR="008905AA" w:rsidRPr="00906DA3" w14:paraId="27127A22" w14:textId="77777777" w:rsidTr="00906BA3">
        <w:tc>
          <w:tcPr>
            <w:tcW w:w="851" w:type="dxa"/>
            <w:tcBorders>
              <w:top w:val="single" w:sz="4" w:space="0" w:color="000000"/>
            </w:tcBorders>
            <w:shd w:val="clear" w:color="auto" w:fill="auto"/>
            <w:vAlign w:val="center"/>
          </w:tcPr>
          <w:p w14:paraId="39A4BDD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курс</w:t>
            </w:r>
            <w:r w:rsidRPr="00906DA3">
              <w:rPr>
                <w:rFonts w:ascii="Times New Roman" w:hAnsi="Times New Roman"/>
                <w:color w:val="000000"/>
              </w:rPr>
              <w:t>ов</w:t>
            </w:r>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906BA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Гражданско-правовой</w:t>
            </w:r>
          </w:p>
          <w:p w14:paraId="1C55EA8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906BA3">
        <w:tc>
          <w:tcPr>
            <w:tcW w:w="851" w:type="dxa"/>
            <w:shd w:val="clear" w:color="auto" w:fill="auto"/>
            <w:vAlign w:val="center"/>
          </w:tcPr>
          <w:p w14:paraId="0AE43C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color w:val="000000"/>
              </w:rPr>
              <w:t>Зам.д</w:t>
            </w:r>
            <w:r w:rsidRPr="00906DA3">
              <w:rPr>
                <w:rFonts w:ascii="Times New Roman" w:hAnsi="Times New Roman"/>
                <w:color w:val="000000"/>
              </w:rPr>
              <w:t>иректора</w:t>
            </w:r>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906BA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
          <w:p w14:paraId="4EC4DAA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906BA3">
        <w:tc>
          <w:tcPr>
            <w:tcW w:w="851" w:type="dxa"/>
            <w:shd w:val="clear" w:color="auto" w:fill="auto"/>
            <w:vAlign w:val="center"/>
          </w:tcPr>
          <w:p w14:paraId="1876A7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906BA3">
        <w:tc>
          <w:tcPr>
            <w:tcW w:w="851" w:type="dxa"/>
            <w:shd w:val="clear" w:color="auto" w:fill="auto"/>
            <w:vAlign w:val="center"/>
          </w:tcPr>
          <w:p w14:paraId="016E50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DE2A4C5"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 ПОО,с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Взаимодействие с родителями</w:t>
            </w:r>
          </w:p>
        </w:tc>
      </w:tr>
      <w:tr w:rsidR="008905AA" w:rsidRPr="00906DA3" w14:paraId="0A80D3B1" w14:textId="77777777" w:rsidTr="00906BA3">
        <w:tc>
          <w:tcPr>
            <w:tcW w:w="851" w:type="dxa"/>
            <w:tcBorders>
              <w:top w:val="single" w:sz="4" w:space="0" w:color="000000"/>
            </w:tcBorders>
            <w:shd w:val="clear" w:color="auto" w:fill="auto"/>
            <w:vAlign w:val="center"/>
          </w:tcPr>
          <w:p w14:paraId="1AD7E1F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28BB49FD" w14:textId="77777777" w:rsidTr="00906BA3">
        <w:tc>
          <w:tcPr>
            <w:tcW w:w="851" w:type="dxa"/>
            <w:tcBorders>
              <w:top w:val="single" w:sz="4" w:space="0" w:color="000000"/>
            </w:tcBorders>
            <w:shd w:val="clear" w:color="auto" w:fill="auto"/>
            <w:vAlign w:val="center"/>
          </w:tcPr>
          <w:p w14:paraId="0B45D61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906BA3">
        <w:tc>
          <w:tcPr>
            <w:tcW w:w="15309" w:type="dxa"/>
            <w:gridSpan w:val="10"/>
            <w:shd w:val="clear" w:color="auto" w:fill="auto"/>
            <w:vAlign w:val="center"/>
          </w:tcPr>
          <w:p w14:paraId="3412277B"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906BA3">
        <w:tc>
          <w:tcPr>
            <w:tcW w:w="851" w:type="dxa"/>
            <w:shd w:val="clear" w:color="auto" w:fill="auto"/>
            <w:vAlign w:val="center"/>
          </w:tcPr>
          <w:p w14:paraId="7D05C42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906BA3">
        <w:tc>
          <w:tcPr>
            <w:tcW w:w="851" w:type="dxa"/>
            <w:shd w:val="clear" w:color="auto" w:fill="auto"/>
            <w:vAlign w:val="center"/>
          </w:tcPr>
          <w:p w14:paraId="747593D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lastRenderedPageBreak/>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39A9E5B7" w14:textId="77777777" w:rsidTr="00906BA3">
        <w:tc>
          <w:tcPr>
            <w:tcW w:w="851" w:type="dxa"/>
            <w:shd w:val="clear" w:color="auto" w:fill="auto"/>
            <w:vAlign w:val="center"/>
          </w:tcPr>
          <w:p w14:paraId="71FC486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7D4AF3DF" w14:textId="77777777" w:rsidTr="00906BA3">
        <w:tc>
          <w:tcPr>
            <w:tcW w:w="851" w:type="dxa"/>
            <w:shd w:val="clear" w:color="auto" w:fill="auto"/>
            <w:vAlign w:val="center"/>
          </w:tcPr>
          <w:p w14:paraId="45DE61A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Гражданско-правовой</w:t>
            </w:r>
          </w:p>
        </w:tc>
      </w:tr>
      <w:tr w:rsidR="008905AA" w:rsidRPr="00906DA3" w14:paraId="58FF4172" w14:textId="77777777" w:rsidTr="00906BA3">
        <w:tc>
          <w:tcPr>
            <w:tcW w:w="851" w:type="dxa"/>
            <w:shd w:val="clear" w:color="auto" w:fill="auto"/>
            <w:vAlign w:val="center"/>
          </w:tcPr>
          <w:p w14:paraId="3F7ABE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906BA3">
            <w:pPr>
              <w:spacing w:after="0"/>
              <w:jc w:val="center"/>
              <w:rPr>
                <w:rFonts w:ascii="Times New Roman" w:hAnsi="Times New Roman"/>
              </w:rPr>
            </w:pPr>
          </w:p>
          <w:p w14:paraId="35190DA1"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906BA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906BA3">
        <w:tc>
          <w:tcPr>
            <w:tcW w:w="851" w:type="dxa"/>
            <w:shd w:val="clear" w:color="auto" w:fill="auto"/>
            <w:vAlign w:val="center"/>
          </w:tcPr>
          <w:p w14:paraId="537E982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906BA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906BA3">
            <w:pPr>
              <w:spacing w:after="0"/>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154F12C" w14:textId="77777777" w:rsidTr="00906BA3">
        <w:tc>
          <w:tcPr>
            <w:tcW w:w="851" w:type="dxa"/>
            <w:shd w:val="clear" w:color="auto" w:fill="auto"/>
            <w:vAlign w:val="center"/>
          </w:tcPr>
          <w:p w14:paraId="253BFD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Фото-флешмоб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Взаимодействие с родителями</w:t>
            </w:r>
          </w:p>
        </w:tc>
      </w:tr>
      <w:tr w:rsidR="008905AA" w:rsidRPr="00906DA3" w14:paraId="5AEA928A" w14:textId="77777777" w:rsidTr="00906BA3">
        <w:tc>
          <w:tcPr>
            <w:tcW w:w="851" w:type="dxa"/>
            <w:shd w:val="clear" w:color="auto" w:fill="auto"/>
            <w:vAlign w:val="center"/>
          </w:tcPr>
          <w:p w14:paraId="02B4DF3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72F87A3B" w14:textId="77777777" w:rsidTr="00906BA3">
        <w:tc>
          <w:tcPr>
            <w:tcW w:w="15309" w:type="dxa"/>
            <w:gridSpan w:val="10"/>
            <w:shd w:val="clear" w:color="auto" w:fill="auto"/>
            <w:vAlign w:val="center"/>
          </w:tcPr>
          <w:p w14:paraId="7404B09D"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906BA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5BED871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r w:rsidRPr="00906DA3">
              <w:rPr>
                <w:rFonts w:ascii="Times New Roman" w:hAnsi="Times New Roman"/>
                <w:lang w:val="en-US"/>
              </w:rPr>
              <w:t>ураторство и поддержка</w:t>
            </w:r>
          </w:p>
        </w:tc>
      </w:tr>
      <w:tr w:rsidR="008905AA" w:rsidRPr="00906DA3" w14:paraId="2EA672CF" w14:textId="77777777" w:rsidTr="00906BA3">
        <w:tc>
          <w:tcPr>
            <w:tcW w:w="851" w:type="dxa"/>
            <w:shd w:val="clear" w:color="auto" w:fill="auto"/>
            <w:vAlign w:val="center"/>
          </w:tcPr>
          <w:p w14:paraId="426355E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9E704DE"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8DCD672"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6E4A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rPr>
              <w:t>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tc>
      </w:tr>
      <w:tr w:rsidR="008905AA" w:rsidRPr="00906DA3" w14:paraId="5F4B8E0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E4E95AF"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14D5EE3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575E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Профессиональный выбор</w:t>
            </w:r>
          </w:p>
          <w:p w14:paraId="6FCE0C31" w14:textId="77777777" w:rsidR="008905AA" w:rsidRPr="00906DA3" w:rsidRDefault="008905AA" w:rsidP="00906BA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4EB6B9B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8A8513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043673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906BA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906BA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906BA3">
            <w:pPr>
              <w:spacing w:after="0"/>
              <w:jc w:val="center"/>
              <w:rPr>
                <w:rFonts w:ascii="Times New Roman" w:hAnsi="Times New Roman"/>
              </w:rPr>
            </w:pPr>
          </w:p>
          <w:p w14:paraId="5AA8EE61"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906BA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74A6492"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p w14:paraId="6A7B7A37" w14:textId="77777777" w:rsidR="008905AA" w:rsidRPr="00906DA3" w:rsidRDefault="008905AA" w:rsidP="00906BA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906BA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p w14:paraId="049F35F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4E330B8E" w14:textId="77777777" w:rsidR="008905AA" w:rsidRPr="00906DA3" w:rsidRDefault="008905AA" w:rsidP="00906BA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w:t>
            </w:r>
            <w:r w:rsidRPr="00906DA3">
              <w:rPr>
                <w:rFonts w:ascii="Times New Roman" w:hAnsi="Times New Roman"/>
              </w:rPr>
              <w:t xml:space="preserve"> </w:t>
            </w:r>
            <w:r w:rsidRPr="00906DA3">
              <w:rPr>
                <w:rFonts w:ascii="Times New Roman" w:hAnsi="Times New Roman"/>
                <w:lang w:val="en-US"/>
              </w:rPr>
              <w:t>среда</w:t>
            </w:r>
          </w:p>
          <w:p w14:paraId="174F366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E896F66" w14:textId="77777777" w:rsidTr="00906BA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Спортивный</w:t>
            </w:r>
            <w:r w:rsidRPr="00906DA3">
              <w:rPr>
                <w:rFonts w:ascii="Times New Roman" w:hAnsi="Times New Roman"/>
              </w:rPr>
              <w:t xml:space="preserve"> </w:t>
            </w:r>
            <w:r w:rsidRPr="00906DA3">
              <w:rPr>
                <w:rFonts w:ascii="Times New Roman" w:hAnsi="Times New Roman"/>
                <w:lang w:val="en-US"/>
              </w:rPr>
              <w:t>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906BA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906BA3">
            <w:pPr>
              <w:spacing w:after="0"/>
              <w:jc w:val="center"/>
              <w:rPr>
                <w:rFonts w:ascii="Times New Roman" w:hAnsi="Times New Roman"/>
              </w:rPr>
            </w:pPr>
            <w:r w:rsidRPr="00906DA3">
              <w:rPr>
                <w:rFonts w:ascii="Times New Roman" w:hAnsi="Times New Roman"/>
              </w:rPr>
              <w:t>У</w:t>
            </w: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906BA3">
            <w:pPr>
              <w:spacing w:after="0"/>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w:t>
            </w:r>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906BA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724EED7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906BA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906BA3">
            <w:pPr>
              <w:spacing w:after="0"/>
              <w:jc w:val="center"/>
              <w:rPr>
                <w:rFonts w:ascii="Times New Roman" w:hAnsi="Times New Roman"/>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4C047A1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2,3,4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p w14:paraId="25A814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6FB0ACF1" w14:textId="77777777" w:rsidR="008905AA" w:rsidRPr="00906DA3" w:rsidRDefault="008905AA" w:rsidP="00906BA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w:t>
            </w:r>
            <w:r w:rsidRPr="00906DA3">
              <w:rPr>
                <w:rFonts w:ascii="Times New Roman" w:hAnsi="Times New Roman"/>
              </w:rPr>
              <w:t xml:space="preserve"> </w:t>
            </w:r>
            <w:r w:rsidRPr="00906DA3">
              <w:rPr>
                <w:rFonts w:ascii="Times New Roman" w:hAnsi="Times New Roman"/>
                <w:lang w:val="en-US"/>
              </w:rPr>
              <w:t>среда</w:t>
            </w:r>
          </w:p>
          <w:p w14:paraId="67E787FE"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C28A6C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04434C1C"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6CB6C9D" w14:textId="77777777" w:rsidTr="00906BA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Учебные аудитори</w:t>
            </w:r>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w:t>
            </w:r>
          </w:p>
          <w:p w14:paraId="215FC02D"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38F6C47"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2E5340C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906BA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Обучающиеся </w:t>
            </w:r>
            <w:r w:rsidRPr="00906DA3">
              <w:rPr>
                <w:rFonts w:ascii="Times New Roman" w:hAnsi="Times New Roman"/>
              </w:rPr>
              <w:t>2</w:t>
            </w:r>
            <w:r w:rsidRPr="00906DA3">
              <w:rPr>
                <w:rFonts w:ascii="Times New Roman" w:hAnsi="Times New Roman"/>
                <w:lang w:val="en-US"/>
              </w:rPr>
              <w:t xml:space="preserve">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906BA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906BA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0CEB1BB8"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344E745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906BA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906BA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Обучающиеся всех курсов</w:t>
            </w:r>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p w14:paraId="18DAC65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906BA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 xml:space="preserve">Обучающиеся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702AE755"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День</w:t>
            </w:r>
            <w:r w:rsidRPr="00906DA3">
              <w:rPr>
                <w:rFonts w:ascii="Times New Roman" w:hAnsi="Times New Roman"/>
                <w:color w:val="000000"/>
              </w:rPr>
              <w:t xml:space="preserve"> </w:t>
            </w:r>
            <w:r w:rsidRPr="00906DA3">
              <w:rPr>
                <w:rFonts w:ascii="Times New Roman" w:hAnsi="Times New Roman"/>
                <w:color w:val="000000"/>
                <w:lang w:val="en-US"/>
              </w:rPr>
              <w:t>эколога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906BA3">
            <w:pPr>
              <w:spacing w:after="0"/>
              <w:jc w:val="center"/>
              <w:rPr>
                <w:rFonts w:ascii="Times New Roman" w:hAnsi="Times New Roman"/>
              </w:rPr>
            </w:pPr>
            <w:r w:rsidRPr="00906DA3">
              <w:rPr>
                <w:rFonts w:ascii="Times New Roman" w:hAnsi="Times New Roman"/>
                <w:lang w:val="en-US"/>
              </w:rPr>
              <w:t>Обучающиеся</w:t>
            </w:r>
            <w:r w:rsidRPr="00906DA3">
              <w:rPr>
                <w:rFonts w:ascii="Times New Roman" w:hAnsi="Times New Roman"/>
              </w:rPr>
              <w:t xml:space="preserve"> всех </w:t>
            </w:r>
            <w:r w:rsidRPr="00906DA3">
              <w:rPr>
                <w:rFonts w:ascii="Times New Roman" w:hAnsi="Times New Roman"/>
                <w:lang w:val="en-US"/>
              </w:rPr>
              <w:t>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w:t>
            </w:r>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05A95DC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4147E69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Гражданско-правовой</w:t>
            </w:r>
          </w:p>
        </w:tc>
      </w:tr>
      <w:tr w:rsidR="008905AA" w:rsidRPr="00906DA3" w14:paraId="4A81B00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Фото-флешмоб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Обучающиеся</w:t>
            </w:r>
            <w:r w:rsidRPr="00906DA3">
              <w:rPr>
                <w:rFonts w:ascii="Times New Roman" w:hAnsi="Times New Roman"/>
              </w:rPr>
              <w:t xml:space="preserve"> всех </w:t>
            </w:r>
            <w:r w:rsidRPr="00906DA3">
              <w:rPr>
                <w:rFonts w:ascii="Times New Roman" w:hAnsi="Times New Roman"/>
                <w:lang w:val="en-US"/>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906BA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21F81F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B3853"/>
    <w:rsid w:val="000C306D"/>
    <w:rsid w:val="000F25F5"/>
    <w:rsid w:val="00107B17"/>
    <w:rsid w:val="00113EA5"/>
    <w:rsid w:val="00142D77"/>
    <w:rsid w:val="00163C02"/>
    <w:rsid w:val="001C44C8"/>
    <w:rsid w:val="00207281"/>
    <w:rsid w:val="0024657B"/>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06BA3"/>
    <w:rsid w:val="00946A4B"/>
    <w:rsid w:val="009A1001"/>
    <w:rsid w:val="009F41A8"/>
    <w:rsid w:val="00A12A5B"/>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83AA4"/>
    <w:rsid w:val="00CA32B5"/>
    <w:rsid w:val="00CC16E5"/>
    <w:rsid w:val="00CE7F55"/>
    <w:rsid w:val="00CF2218"/>
    <w:rsid w:val="00CF3510"/>
    <w:rsid w:val="00D12A18"/>
    <w:rsid w:val="00D3609C"/>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AA03A-1236-457E-82C7-2A6A0BD1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26</cp:revision>
  <cp:lastPrinted>2023-05-10T11:27:00Z</cp:lastPrinted>
  <dcterms:created xsi:type="dcterms:W3CDTF">2023-05-10T11:59:00Z</dcterms:created>
  <dcterms:modified xsi:type="dcterms:W3CDTF">2023-05-11T11:14:00Z</dcterms:modified>
</cp:coreProperties>
</file>