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59" w:rsidRDefault="00410022" w:rsidP="00A90E59">
      <w:pPr>
        <w:pStyle w:val="a3"/>
        <w:spacing w:line="360" w:lineRule="auto"/>
        <w:jc w:val="center"/>
        <w:rPr>
          <w:rFonts w:ascii="Times New Roman" w:hAnsi="Times New Roman"/>
          <w:lang w:val="en-US"/>
        </w:rPr>
      </w:pPr>
      <w:r w:rsidRPr="00A90E59">
        <w:rPr>
          <w:rFonts w:ascii="Times New Roman" w:hAnsi="Times New Roman"/>
          <w:b/>
          <w:lang w:val="en-US"/>
        </w:rPr>
        <w:t>PUSHKIN LENINGRAD STATE UNIVERSITY</w:t>
      </w:r>
      <w:r w:rsidRPr="00A90E59">
        <w:rPr>
          <w:rFonts w:ascii="Times New Roman" w:hAnsi="Times New Roman"/>
          <w:lang w:val="en-US"/>
        </w:rPr>
        <w:t xml:space="preserve"> </w:t>
      </w:r>
    </w:p>
    <w:p w:rsidR="00A90E59" w:rsidRDefault="00410022" w:rsidP="00A90E59">
      <w:pPr>
        <w:pStyle w:val="a3"/>
        <w:spacing w:line="360" w:lineRule="auto"/>
        <w:jc w:val="center"/>
        <w:rPr>
          <w:rFonts w:ascii="Times New Roman" w:hAnsi="Times New Roman"/>
          <w:lang w:val="en-US"/>
        </w:rPr>
      </w:pPr>
      <w:r w:rsidRPr="00A90E59">
        <w:rPr>
          <w:rFonts w:ascii="Times New Roman" w:hAnsi="Times New Roman"/>
          <w:lang w:val="en-US"/>
        </w:rPr>
        <w:t xml:space="preserve">invites you to take part in the work of the international scientific conference </w:t>
      </w:r>
    </w:p>
    <w:p w:rsidR="00A90E59" w:rsidRDefault="00410022" w:rsidP="00A90E59">
      <w:pPr>
        <w:pStyle w:val="a3"/>
        <w:spacing w:line="360" w:lineRule="auto"/>
        <w:jc w:val="center"/>
        <w:rPr>
          <w:rFonts w:ascii="Times New Roman" w:hAnsi="Times New Roman"/>
          <w:lang w:val="en-US"/>
        </w:rPr>
      </w:pPr>
      <w:r w:rsidRPr="00A90E59">
        <w:rPr>
          <w:rFonts w:ascii="Times New Roman" w:hAnsi="Times New Roman"/>
          <w:b/>
          <w:lang w:val="en-US"/>
        </w:rPr>
        <w:t>29</w:t>
      </w:r>
      <w:r w:rsidRPr="00A90E59">
        <w:rPr>
          <w:rFonts w:ascii="Times New Roman" w:hAnsi="Times New Roman"/>
          <w:b/>
          <w:vertAlign w:val="superscript"/>
          <w:lang w:val="en-US"/>
        </w:rPr>
        <w:t>th</w:t>
      </w:r>
      <w:r w:rsidRPr="00A90E59">
        <w:rPr>
          <w:rFonts w:ascii="Times New Roman" w:hAnsi="Times New Roman"/>
          <w:b/>
          <w:lang w:val="en-US"/>
        </w:rPr>
        <w:t xml:space="preserve"> </w:t>
      </w:r>
      <w:proofErr w:type="spellStart"/>
      <w:r w:rsidRPr="00A90E59">
        <w:rPr>
          <w:rFonts w:ascii="Times New Roman" w:hAnsi="Times New Roman"/>
          <w:b/>
          <w:lang w:val="en-US"/>
        </w:rPr>
        <w:t>Tsarskoye</w:t>
      </w:r>
      <w:proofErr w:type="spellEnd"/>
      <w:r w:rsidRPr="00A90E59">
        <w:rPr>
          <w:rFonts w:ascii="Times New Roman" w:hAnsi="Times New Roman"/>
          <w:b/>
          <w:lang w:val="en-US"/>
        </w:rPr>
        <w:t xml:space="preserve"> </w:t>
      </w:r>
      <w:proofErr w:type="spellStart"/>
      <w:r w:rsidRPr="00A90E59">
        <w:rPr>
          <w:rFonts w:ascii="Times New Roman" w:hAnsi="Times New Roman"/>
          <w:b/>
          <w:lang w:val="en-US"/>
        </w:rPr>
        <w:t>Selo</w:t>
      </w:r>
      <w:proofErr w:type="spellEnd"/>
      <w:r w:rsidRPr="00A90E59">
        <w:rPr>
          <w:rFonts w:ascii="Times New Roman" w:hAnsi="Times New Roman"/>
          <w:b/>
          <w:lang w:val="en-US"/>
        </w:rPr>
        <w:t xml:space="preserve"> Readings</w:t>
      </w:r>
      <w:r w:rsidRPr="00A90E59">
        <w:rPr>
          <w:rFonts w:ascii="Times New Roman" w:hAnsi="Times New Roman"/>
          <w:lang w:val="en-US"/>
        </w:rPr>
        <w:t xml:space="preserve">, </w:t>
      </w:r>
    </w:p>
    <w:p w:rsidR="00D571D4" w:rsidRPr="00A90E59" w:rsidRDefault="00410022" w:rsidP="00A90E59">
      <w:pPr>
        <w:pStyle w:val="a3"/>
        <w:spacing w:line="360" w:lineRule="auto"/>
        <w:jc w:val="center"/>
        <w:rPr>
          <w:rFonts w:ascii="Times New Roman" w:hAnsi="Times New Roman"/>
          <w:lang w:val="en-US"/>
        </w:rPr>
      </w:pPr>
      <w:r w:rsidRPr="00A90E59">
        <w:rPr>
          <w:rFonts w:ascii="Times New Roman" w:hAnsi="Times New Roman"/>
          <w:lang w:val="en-US"/>
        </w:rPr>
        <w:t>which will be held on April 22–23, 2025.</w:t>
      </w:r>
    </w:p>
    <w:p w:rsidR="00D571D4" w:rsidRPr="00A90E59" w:rsidRDefault="00410022" w:rsidP="00A90E59">
      <w:pPr>
        <w:pStyle w:val="a3"/>
        <w:spacing w:line="360" w:lineRule="auto"/>
        <w:jc w:val="center"/>
        <w:rPr>
          <w:rFonts w:ascii="Times New Roman" w:hAnsi="Times New Roman"/>
          <w:b/>
          <w:lang w:val="en-US"/>
        </w:rPr>
      </w:pPr>
      <w:r w:rsidRPr="00A90E59">
        <w:rPr>
          <w:rFonts w:ascii="Times New Roman" w:hAnsi="Times New Roman"/>
          <w:b/>
          <w:lang w:val="en-US"/>
        </w:rPr>
        <w:t>The topic of the plenary session is Year of the Defender of the Fatherland – a symbol of national unity and patriotism.</w:t>
      </w:r>
    </w:p>
    <w:p w:rsidR="00A90E59" w:rsidRDefault="00A90E59" w:rsidP="00A90E59">
      <w:pPr>
        <w:pStyle w:val="a3"/>
        <w:spacing w:line="360" w:lineRule="auto"/>
        <w:rPr>
          <w:rFonts w:ascii="Times New Roman" w:hAnsi="Times New Roman"/>
          <w:lang w:val="en-US"/>
        </w:rPr>
      </w:pP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lang w:val="en-US"/>
        </w:rPr>
        <w:t xml:space="preserve">Please </w:t>
      </w:r>
      <w:r w:rsidRPr="00A90E59">
        <w:rPr>
          <w:rFonts w:ascii="Times New Roman" w:hAnsi="Times New Roman"/>
          <w:b/>
          <w:lang w:val="en-US"/>
        </w:rPr>
        <w:t>send your application for participation in the conference and article materials no later than April 15</w:t>
      </w:r>
      <w:r w:rsidRPr="00A90E59">
        <w:rPr>
          <w:rFonts w:ascii="Times New Roman" w:hAnsi="Times New Roman"/>
          <w:lang w:val="en-US"/>
        </w:rPr>
        <w:t xml:space="preserve"> to the following address: </w:t>
      </w:r>
      <w:hyperlink r:id="rId7">
        <w:r w:rsidRPr="00A90E59">
          <w:rPr>
            <w:rStyle w:val="af"/>
            <w:rFonts w:ascii="Times New Roman" w:hAnsi="Times New Roman"/>
            <w:b/>
            <w:lang w:val="en-US"/>
          </w:rPr>
          <w:t>tchtenia@lengu.ru</w:t>
        </w:r>
      </w:hyperlink>
      <w:r w:rsidRPr="00A90E59">
        <w:rPr>
          <w:rFonts w:ascii="Times New Roman" w:hAnsi="Times New Roman"/>
          <w:lang w:val="en-US"/>
        </w:rPr>
        <w:t xml:space="preserve">. Application for participation and article text should be sent in one file. In the file name, indicate the author's last name and the first word of the article title (e.g.: Ivanov. Contents). Informational, advertising, and journalistic materials are </w:t>
      </w:r>
      <w:r w:rsidRPr="00A90E59">
        <w:rPr>
          <w:rFonts w:ascii="Times New Roman" w:hAnsi="Times New Roman"/>
          <w:b/>
          <w:lang w:val="en-US"/>
        </w:rPr>
        <w:t>not accepted</w:t>
      </w:r>
      <w:r w:rsidRPr="00A90E59">
        <w:rPr>
          <w:rFonts w:ascii="Times New Roman" w:hAnsi="Times New Roman"/>
          <w:lang w:val="en-US"/>
        </w:rPr>
        <w:t>.</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lang w:val="en-US"/>
        </w:rPr>
        <w:t xml:space="preserve">The organizing committee checks all incoming materials using the </w:t>
      </w:r>
      <w:proofErr w:type="spellStart"/>
      <w:r w:rsidRPr="00A90E59">
        <w:rPr>
          <w:rFonts w:ascii="Times New Roman" w:hAnsi="Times New Roman"/>
          <w:lang w:val="en-US"/>
        </w:rPr>
        <w:t>Antiplagiat.VUZ</w:t>
      </w:r>
      <w:proofErr w:type="spellEnd"/>
      <w:r w:rsidRPr="00A90E59">
        <w:rPr>
          <w:rFonts w:ascii="Times New Roman" w:hAnsi="Times New Roman"/>
          <w:lang w:val="en-US"/>
        </w:rPr>
        <w:t xml:space="preserve"> program (anti-plagiarism program for universities). </w:t>
      </w:r>
      <w:r w:rsidRPr="00A90E59">
        <w:rPr>
          <w:rFonts w:ascii="Times New Roman" w:hAnsi="Times New Roman"/>
          <w:b/>
          <w:lang w:val="en-US"/>
        </w:rPr>
        <w:t>The originality of the article text should be at least 70% of the total volume.</w:t>
      </w:r>
      <w:r w:rsidRPr="00A90E59">
        <w:rPr>
          <w:rFonts w:ascii="Times New Roman" w:hAnsi="Times New Roman"/>
          <w:lang w:val="en-US"/>
        </w:rPr>
        <w:t xml:space="preserve"> If unregistered borrowings are found, the materials will not be accepted for publication.</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b/>
          <w:lang w:val="en-US"/>
        </w:rPr>
        <w:t>The registration fee</w:t>
      </w:r>
      <w:r w:rsidRPr="00A90E59">
        <w:rPr>
          <w:rFonts w:ascii="Times New Roman" w:hAnsi="Times New Roman"/>
          <w:lang w:val="en-US"/>
        </w:rPr>
        <w:t xml:space="preserve"> for participation in the conference (including one 5-page publication) is 1000 rubles. For each subsequent page of the publication, the fee increases by 100 rubles. The payment deadline is no later than the start day of the Conference.</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lang w:val="en-US"/>
        </w:rPr>
        <w:t>The materials will be placed article by article in the Russian Science Citation Index based on agreement No. 100-01/2014K dated January 24, 2014.</w:t>
      </w:r>
    </w:p>
    <w:p w:rsidR="00D571D4" w:rsidRPr="00A90E59" w:rsidRDefault="00410022" w:rsidP="00A90E59">
      <w:pPr>
        <w:pStyle w:val="a3"/>
        <w:spacing w:line="360" w:lineRule="auto"/>
        <w:rPr>
          <w:rFonts w:ascii="Times New Roman" w:hAnsi="Times New Roman"/>
          <w:b/>
          <w:lang w:val="en-US"/>
        </w:rPr>
      </w:pPr>
      <w:r w:rsidRPr="00A90E59">
        <w:rPr>
          <w:rFonts w:ascii="Times New Roman" w:hAnsi="Times New Roman"/>
          <w:b/>
          <w:lang w:val="en-US"/>
        </w:rPr>
        <w:t>The organizing committee reserves the right to select articles for publication. Materials are not reviewed and are not returned. Certificates of acceptance of an article for publication are not issued.</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b/>
          <w:lang w:val="en-US"/>
        </w:rPr>
        <w:t>Contact person:</w:t>
      </w:r>
      <w:r w:rsidRPr="00A90E59">
        <w:rPr>
          <w:rFonts w:ascii="Times New Roman" w:hAnsi="Times New Roman"/>
          <w:lang w:val="en-US"/>
        </w:rPr>
        <w:t xml:space="preserve"> </w:t>
      </w:r>
      <w:proofErr w:type="spellStart"/>
      <w:r w:rsidRPr="00A90E59">
        <w:rPr>
          <w:rFonts w:ascii="Times New Roman" w:hAnsi="Times New Roman"/>
          <w:lang w:val="en-US"/>
        </w:rPr>
        <w:t>Yulia</w:t>
      </w:r>
      <w:proofErr w:type="spellEnd"/>
      <w:r w:rsidRPr="00A90E59">
        <w:rPr>
          <w:rFonts w:ascii="Times New Roman" w:hAnsi="Times New Roman"/>
          <w:lang w:val="en-US"/>
        </w:rPr>
        <w:t xml:space="preserve"> I. </w:t>
      </w:r>
      <w:proofErr w:type="spellStart"/>
      <w:r w:rsidRPr="00A90E59">
        <w:rPr>
          <w:rFonts w:ascii="Times New Roman" w:hAnsi="Times New Roman"/>
          <w:lang w:val="en-US"/>
        </w:rPr>
        <w:t>Busheneva</w:t>
      </w:r>
      <w:proofErr w:type="spellEnd"/>
      <w:r w:rsidRPr="00A90E59">
        <w:rPr>
          <w:rFonts w:ascii="Times New Roman" w:hAnsi="Times New Roman"/>
          <w:lang w:val="en-US"/>
        </w:rPr>
        <w:t>, Head of the Scientific Department of Pushkin Leningrad State University.</w:t>
      </w:r>
    </w:p>
    <w:p w:rsidR="00D571D4" w:rsidRPr="00A90E59" w:rsidRDefault="00410022" w:rsidP="00A90E59">
      <w:pPr>
        <w:pStyle w:val="a3"/>
        <w:spacing w:line="360" w:lineRule="auto"/>
        <w:rPr>
          <w:rFonts w:ascii="Times New Roman" w:hAnsi="Times New Roman"/>
          <w:b/>
          <w:lang w:val="en-US"/>
        </w:rPr>
      </w:pPr>
      <w:r w:rsidRPr="00A90E59">
        <w:rPr>
          <w:rFonts w:ascii="Times New Roman" w:hAnsi="Times New Roman"/>
          <w:b/>
          <w:lang w:val="en-US"/>
        </w:rPr>
        <w:t>Conference timing:</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lang w:val="en-US"/>
        </w:rPr>
        <w:t>April 22, 2025 – plenary and sectional sessions. Start at 10 am.</w:t>
      </w:r>
    </w:p>
    <w:p w:rsidR="00D571D4" w:rsidRPr="00A90E59" w:rsidRDefault="00410022" w:rsidP="00A90E59">
      <w:pPr>
        <w:pStyle w:val="a3"/>
        <w:spacing w:line="360" w:lineRule="auto"/>
        <w:rPr>
          <w:rFonts w:ascii="Times New Roman" w:hAnsi="Times New Roman"/>
          <w:lang w:val="en-US"/>
        </w:rPr>
      </w:pPr>
      <w:r w:rsidRPr="00A90E59">
        <w:rPr>
          <w:rFonts w:ascii="Times New Roman" w:hAnsi="Times New Roman"/>
          <w:lang w:val="en-US"/>
        </w:rPr>
        <w:t>April 23, 2025 – sectional sessions. Start at 10 am.</w:t>
      </w:r>
    </w:p>
    <w:p w:rsidR="00D571D4" w:rsidRPr="00A90E59" w:rsidRDefault="00410022" w:rsidP="00A90E59">
      <w:pPr>
        <w:pStyle w:val="a3"/>
        <w:spacing w:line="360" w:lineRule="auto"/>
        <w:rPr>
          <w:lang w:val="en-US"/>
        </w:rPr>
      </w:pPr>
      <w:r w:rsidRPr="00A90E59">
        <w:rPr>
          <w:rFonts w:ascii="Times New Roman" w:hAnsi="Times New Roman"/>
          <w:lang w:val="en-US"/>
        </w:rPr>
        <w:t>For more information about the international scientific conference 29</w:t>
      </w:r>
      <w:r w:rsidRPr="00A90E59">
        <w:rPr>
          <w:rFonts w:ascii="Times New Roman" w:hAnsi="Times New Roman"/>
          <w:vertAlign w:val="superscript"/>
          <w:lang w:val="en-US"/>
        </w:rPr>
        <w:t>th</w:t>
      </w:r>
      <w:r w:rsidRPr="00A90E59">
        <w:rPr>
          <w:rFonts w:ascii="Times New Roman" w:hAnsi="Times New Roman"/>
          <w:lang w:val="en-US"/>
        </w:rPr>
        <w:t xml:space="preserve"> </w:t>
      </w:r>
      <w:proofErr w:type="spellStart"/>
      <w:r w:rsidRPr="00A90E59">
        <w:rPr>
          <w:rFonts w:ascii="Times New Roman" w:hAnsi="Times New Roman"/>
          <w:lang w:val="en-US"/>
        </w:rPr>
        <w:t>Tsarskoye</w:t>
      </w:r>
      <w:proofErr w:type="spellEnd"/>
      <w:r w:rsidRPr="00A90E59">
        <w:rPr>
          <w:rFonts w:ascii="Times New Roman" w:hAnsi="Times New Roman"/>
          <w:lang w:val="en-US"/>
        </w:rPr>
        <w:t xml:space="preserve"> </w:t>
      </w:r>
      <w:proofErr w:type="spellStart"/>
      <w:r w:rsidRPr="00A90E59">
        <w:rPr>
          <w:rFonts w:ascii="Times New Roman" w:hAnsi="Times New Roman"/>
          <w:lang w:val="en-US"/>
        </w:rPr>
        <w:t>Selo</w:t>
      </w:r>
      <w:proofErr w:type="spellEnd"/>
      <w:r w:rsidRPr="00A90E59">
        <w:rPr>
          <w:rFonts w:ascii="Times New Roman" w:hAnsi="Times New Roman"/>
          <w:lang w:val="en-US"/>
        </w:rPr>
        <w:t xml:space="preserve"> </w:t>
      </w:r>
      <w:r w:rsidRPr="00A90E59">
        <w:rPr>
          <w:rFonts w:ascii="Times New Roman" w:hAnsi="Times New Roman"/>
          <w:lang w:val="en-US"/>
        </w:rPr>
        <w:lastRenderedPageBreak/>
        <w:t xml:space="preserve">Readings, please call: </w:t>
      </w:r>
      <w:r w:rsidRPr="00A90E59">
        <w:rPr>
          <w:rFonts w:ascii="Times New Roman" w:hAnsi="Times New Roman"/>
          <w:b/>
          <w:lang w:val="en-US"/>
        </w:rPr>
        <w:t xml:space="preserve">8 (812) 476-90-36 or write to the e-mail: </w:t>
      </w:r>
      <w:hyperlink>
        <w:r w:rsidRPr="00A90E59">
          <w:rPr>
            <w:rStyle w:val="af"/>
            <w:rFonts w:ascii="Times New Roman" w:hAnsi="Times New Roman"/>
            <w:b/>
            <w:lang w:val="en-US"/>
          </w:rPr>
          <w:t>tchtenia@lengu.ru</w:t>
        </w:r>
      </w:hyperlink>
    </w:p>
    <w:p w:rsidR="00D571D4" w:rsidRPr="00A90E59" w:rsidRDefault="00D571D4" w:rsidP="00A90E59">
      <w:pPr>
        <w:pStyle w:val="a3"/>
        <w:spacing w:line="360" w:lineRule="auto"/>
        <w:rPr>
          <w:rFonts w:ascii="Times New Roman" w:hAnsi="Times New Roman"/>
          <w:lang w:val="en-US"/>
        </w:rPr>
      </w:pPr>
    </w:p>
    <w:p w:rsidR="00D571D4" w:rsidRPr="00A90E59" w:rsidRDefault="00410022" w:rsidP="00A90E59">
      <w:pPr>
        <w:pStyle w:val="a3"/>
        <w:spacing w:line="360" w:lineRule="auto"/>
        <w:rPr>
          <w:rFonts w:ascii="Times New Roman" w:hAnsi="Times New Roman"/>
          <w:b/>
          <w:lang w:val="en-US"/>
        </w:rPr>
      </w:pPr>
      <w:r w:rsidRPr="00A90E59">
        <w:rPr>
          <w:rFonts w:ascii="Times New Roman" w:hAnsi="Times New Roman"/>
          <w:b/>
          <w:lang w:val="en-US"/>
        </w:rPr>
        <w:t>The main directions of work:</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History of the country in the biographies of its citizens. Historical memory and education of civism.</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The theme of national unity in Russian literature.</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Continuous education as a factor in the development of human resources.</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The role of language, culture and education in fostering patriotism.</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National unity and patriotism in the mirror of language.</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Modern trends and technologies for the formation of patriotism in advertising and public relations.</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Legal regulation of the status of the defender of the Fatherland: history and modernity.</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Patriotism and patriotic education of the younger generation as the basis for the formation of national unity in modern society.</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Let's preserve the memory of the past: the borders of Vyborg and the Vyborg district.</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Russian identity: in search of national unity.</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The heroic feat of the Russian people, reflected in art and culture. From epic heroes to heroes of the Great Patriotic War</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Musical culture of Russia as a source of strengthening national unity</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Clinical and psychological aspects of providing assistance to participants of the special military operation and their families.</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Prospects for the development of biotechnology in Russia in the context of social responsibility and patriotism.</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Implementation of the priorities of the Patriotic education of citizens of the Russian Federation, federal project in the system of social and scientific, natural and scientific disciplines.</w:t>
      </w:r>
    </w:p>
    <w:p w:rsidR="00D571D4" w:rsidRPr="00A90E59"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t>Patriotic tourism in the regional development of Russia: resources, history, trends and main directions of development.</w:t>
      </w:r>
    </w:p>
    <w:p w:rsidR="00D571D4" w:rsidRDefault="00410022" w:rsidP="00A90E59">
      <w:pPr>
        <w:pStyle w:val="a3"/>
        <w:numPr>
          <w:ilvl w:val="0"/>
          <w:numId w:val="4"/>
        </w:numPr>
        <w:spacing w:line="360" w:lineRule="auto"/>
        <w:ind w:left="0" w:firstLine="709"/>
        <w:rPr>
          <w:rFonts w:ascii="Times New Roman" w:hAnsi="Times New Roman"/>
          <w:lang w:val="en-US"/>
        </w:rPr>
      </w:pPr>
      <w:r w:rsidRPr="00A90E59">
        <w:rPr>
          <w:rFonts w:ascii="Times New Roman" w:hAnsi="Times New Roman"/>
          <w:lang w:val="en-US"/>
        </w:rPr>
        <w:lastRenderedPageBreak/>
        <w:t>The role of physical culture and sports in the formation of readiness to defend the fatherland.</w:t>
      </w:r>
    </w:p>
    <w:p w:rsidR="005F7F21" w:rsidRPr="002B5C05" w:rsidRDefault="005F7F21" w:rsidP="00A90E59">
      <w:pPr>
        <w:pStyle w:val="a3"/>
        <w:numPr>
          <w:ilvl w:val="0"/>
          <w:numId w:val="4"/>
        </w:numPr>
        <w:spacing w:line="360" w:lineRule="auto"/>
        <w:ind w:left="0" w:firstLine="709"/>
        <w:rPr>
          <w:rStyle w:val="ezkurwreuab5ozgtqnkl"/>
          <w:rFonts w:ascii="Times New Roman" w:hAnsi="Times New Roman"/>
          <w:lang w:val="en-US"/>
        </w:rPr>
      </w:pPr>
      <w:r w:rsidRPr="005F7F21">
        <w:rPr>
          <w:rStyle w:val="ezkurwreuab5ozgtqnkl"/>
          <w:lang w:val="en-US"/>
        </w:rPr>
        <w:t>Sustainable</w:t>
      </w:r>
      <w:r w:rsidRPr="005F7F21">
        <w:rPr>
          <w:lang w:val="en-US"/>
        </w:rPr>
        <w:t xml:space="preserve"> </w:t>
      </w:r>
      <w:r w:rsidRPr="005F7F21">
        <w:rPr>
          <w:rStyle w:val="ezkurwreuab5ozgtqnkl"/>
          <w:lang w:val="en-US"/>
        </w:rPr>
        <w:t>socio-economic</w:t>
      </w:r>
      <w:r w:rsidRPr="005F7F21">
        <w:rPr>
          <w:lang w:val="en-US"/>
        </w:rPr>
        <w:t xml:space="preserve"> </w:t>
      </w:r>
      <w:r w:rsidRPr="005F7F21">
        <w:rPr>
          <w:rStyle w:val="ezkurwreuab5ozgtqnkl"/>
          <w:lang w:val="en-US"/>
        </w:rPr>
        <w:t>development</w:t>
      </w:r>
      <w:r w:rsidRPr="005F7F21">
        <w:rPr>
          <w:lang w:val="en-US"/>
        </w:rPr>
        <w:t xml:space="preserve"> of </w:t>
      </w:r>
      <w:r w:rsidRPr="005F7F21">
        <w:rPr>
          <w:rStyle w:val="ezkurwreuab5ozgtqnkl"/>
          <w:lang w:val="en-US"/>
        </w:rPr>
        <w:t>Russian</w:t>
      </w:r>
      <w:r w:rsidRPr="005F7F21">
        <w:rPr>
          <w:lang w:val="en-US"/>
        </w:rPr>
        <w:t xml:space="preserve"> </w:t>
      </w:r>
      <w:r w:rsidRPr="005F7F21">
        <w:rPr>
          <w:rStyle w:val="ezkurwreuab5ozgtqnkl"/>
          <w:lang w:val="en-US"/>
        </w:rPr>
        <w:t>regions</w:t>
      </w:r>
      <w:r w:rsidRPr="005F7F21">
        <w:rPr>
          <w:lang w:val="en-US"/>
        </w:rPr>
        <w:t xml:space="preserve"> </w:t>
      </w:r>
      <w:r w:rsidRPr="005F7F21">
        <w:rPr>
          <w:rStyle w:val="ezkurwreuab5ozgtqnkl"/>
          <w:lang w:val="en-US"/>
        </w:rPr>
        <w:t>as</w:t>
      </w:r>
      <w:r w:rsidRPr="005F7F21">
        <w:rPr>
          <w:lang w:val="en-US"/>
        </w:rPr>
        <w:t xml:space="preserve"> a </w:t>
      </w:r>
      <w:r w:rsidRPr="005F7F21">
        <w:rPr>
          <w:rStyle w:val="ezkurwreuab5ozgtqnkl"/>
          <w:lang w:val="en-US"/>
        </w:rPr>
        <w:t>factor</w:t>
      </w:r>
      <w:r w:rsidRPr="005F7F21">
        <w:rPr>
          <w:lang w:val="en-US"/>
        </w:rPr>
        <w:t xml:space="preserve"> of </w:t>
      </w:r>
      <w:r w:rsidRPr="005F7F21">
        <w:rPr>
          <w:rStyle w:val="ezkurwreuab5ozgtqnkl"/>
          <w:lang w:val="en-US"/>
        </w:rPr>
        <w:t>national</w:t>
      </w:r>
      <w:r w:rsidRPr="005F7F21">
        <w:rPr>
          <w:lang w:val="en-US"/>
        </w:rPr>
        <w:t xml:space="preserve"> </w:t>
      </w:r>
      <w:r w:rsidRPr="005F7F21">
        <w:rPr>
          <w:rStyle w:val="ezkurwreuab5ozgtqnkl"/>
          <w:lang w:val="en-US"/>
        </w:rPr>
        <w:t>unity.</w:t>
      </w:r>
    </w:p>
    <w:p w:rsidR="002B5C05" w:rsidRPr="00A90E59" w:rsidRDefault="002B5C05" w:rsidP="002B5C05">
      <w:pPr>
        <w:pStyle w:val="a3"/>
        <w:numPr>
          <w:ilvl w:val="0"/>
          <w:numId w:val="4"/>
        </w:numPr>
        <w:spacing w:line="360" w:lineRule="auto"/>
        <w:ind w:left="0" w:firstLine="709"/>
        <w:rPr>
          <w:rFonts w:ascii="Times New Roman" w:hAnsi="Times New Roman"/>
          <w:lang w:val="en-US"/>
        </w:rPr>
      </w:pPr>
      <w:bookmarkStart w:id="0" w:name="_GoBack"/>
      <w:r w:rsidRPr="002B5C05">
        <w:rPr>
          <w:rFonts w:ascii="Times New Roman" w:hAnsi="Times New Roman"/>
          <w:lang w:val="en-US"/>
        </w:rPr>
        <w:t>War and peace in the age of digitalization</w:t>
      </w:r>
      <w:bookmarkEnd w:id="0"/>
    </w:p>
    <w:sectPr w:rsidR="002B5C05" w:rsidRPr="00A90E59">
      <w:headerReference w:type="default" r:id="rId8"/>
      <w:footerReference w:type="default" r:id="rId9"/>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022" w:rsidRDefault="00410022">
      <w:r>
        <w:separator/>
      </w:r>
    </w:p>
  </w:endnote>
  <w:endnote w:type="continuationSeparator" w:id="0">
    <w:p w:rsidR="00410022" w:rsidRDefault="0041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2"/>
    <w:family w:val="auto"/>
    <w:pitch w:val="default"/>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D4" w:rsidRDefault="00D571D4">
    <w:pPr>
      <w:pStyle w:val="aff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022" w:rsidRDefault="00410022">
      <w:r>
        <w:separator/>
      </w:r>
    </w:p>
  </w:footnote>
  <w:footnote w:type="continuationSeparator" w:id="0">
    <w:p w:rsidR="00410022" w:rsidRDefault="00410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D4" w:rsidRDefault="00410022">
    <w:pPr>
      <w:pStyle w:val="afff4"/>
    </w:pPr>
    <w:r>
      <w:fldChar w:fldCharType="begin"/>
    </w:r>
    <w:r>
      <w:instrText xml:space="preserve"> PAGE </w:instrText>
    </w:r>
    <w:r>
      <w:fldChar w:fldCharType="separate"/>
    </w:r>
    <w:r w:rsidR="002B5C05">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7B5"/>
    <w:multiLevelType w:val="multilevel"/>
    <w:tmpl w:val="7158E108"/>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3AED5A0A"/>
    <w:multiLevelType w:val="hybridMultilevel"/>
    <w:tmpl w:val="DC764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D8961BB"/>
    <w:multiLevelType w:val="multilevel"/>
    <w:tmpl w:val="404AABF0"/>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3" w15:restartNumberingAfterBreak="0">
    <w:nsid w:val="424B6877"/>
    <w:multiLevelType w:val="multilevel"/>
    <w:tmpl w:val="B13E416A"/>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D4"/>
    <w:rsid w:val="002B5C05"/>
    <w:rsid w:val="00410022"/>
    <w:rsid w:val="005F7F21"/>
    <w:rsid w:val="00A90E59"/>
    <w:rsid w:val="00D57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0D5A"/>
  <w15:docId w15:val="{EA4781C8-CCDA-4DE9-9A19-FA4A3A9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qFormat/>
    <w:pPr>
      <w:spacing w:after="0"/>
      <w:outlineLvl w:val="0"/>
    </w:pPr>
  </w:style>
  <w:style w:type="paragraph" w:styleId="2">
    <w:name w:val="heading 2"/>
    <w:basedOn w:val="a2"/>
    <w:next w:val="a4"/>
    <w:qFormat/>
    <w:pPr>
      <w:spacing w:after="0"/>
      <w:outlineLvl w:val="1"/>
    </w:pPr>
  </w:style>
  <w:style w:type="paragraph" w:styleId="3">
    <w:name w:val="heading 3"/>
    <w:basedOn w:val="a2"/>
    <w:next w:val="a4"/>
    <w:qFormat/>
    <w:pPr>
      <w:spacing w:after="0"/>
      <w:outlineLvl w:val="2"/>
    </w:pPr>
  </w:style>
  <w:style w:type="paragraph" w:styleId="4">
    <w:name w:val="heading 4"/>
    <w:basedOn w:val="a2"/>
    <w:next w:val="a4"/>
    <w:qFormat/>
    <w:pPr>
      <w:spacing w:after="0"/>
      <w:outlineLvl w:val="3"/>
    </w:pPr>
  </w:style>
  <w:style w:type="paragraph" w:styleId="5">
    <w:name w:val="heading 5"/>
    <w:basedOn w:val="a2"/>
    <w:next w:val="a4"/>
    <w:qFormat/>
    <w:pPr>
      <w:spacing w:after="0"/>
      <w:outlineLvl w:val="4"/>
    </w:pPr>
  </w:style>
  <w:style w:type="paragraph" w:styleId="6">
    <w:name w:val="heading 6"/>
    <w:basedOn w:val="a2"/>
    <w:next w:val="a4"/>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758488064"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0"/>
    <w:qFormat/>
  </w:style>
  <w:style w:type="paragraph" w:styleId="a0">
    <w:name w:val="List Number"/>
    <w:basedOn w:val="aff1"/>
    <w:pPr>
      <w:numPr>
        <w:numId w:val="2"/>
      </w:numPr>
    </w:pPr>
  </w:style>
  <w:style w:type="paragraph" w:customStyle="1" w:styleId="12">
    <w:name w:val="Нумерованный 1 конец"/>
    <w:basedOn w:val="aff1"/>
    <w:next w:val="a0"/>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
    <w:qFormat/>
  </w:style>
  <w:style w:type="paragraph" w:styleId="a">
    <w:name w:val="List Bullet"/>
    <w:basedOn w:val="aff1"/>
    <w:pPr>
      <w:numPr>
        <w:numId w:val="3"/>
      </w:numPr>
    </w:pPr>
  </w:style>
  <w:style w:type="paragraph" w:customStyle="1" w:styleId="15">
    <w:name w:val="Список 1 конец"/>
    <w:basedOn w:val="aff1"/>
    <w:next w:val="a"/>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afff3">
    <w:name w:val="Колонтитул"/>
    <w:basedOn w:val="a1"/>
    <w:qFormat/>
    <w:pPr>
      <w:suppressLineNumbers/>
      <w:tabs>
        <w:tab w:val="center" w:pos="4819"/>
        <w:tab w:val="right" w:pos="9638"/>
      </w:tabs>
    </w:pPr>
  </w:style>
  <w:style w:type="paragraph" w:styleId="afff4">
    <w:name w:val="header"/>
    <w:basedOn w:val="a1"/>
    <w:pPr>
      <w:tabs>
        <w:tab w:val="center" w:pos="4819"/>
        <w:tab w:val="right" w:pos="9638"/>
      </w:tabs>
    </w:pPr>
  </w:style>
  <w:style w:type="paragraph" w:customStyle="1" w:styleId="afff5">
    <w:name w:val="Верхний колонтитул слева"/>
    <w:basedOn w:val="a1"/>
    <w:qFormat/>
    <w:pPr>
      <w:tabs>
        <w:tab w:val="center" w:pos="4819"/>
        <w:tab w:val="right" w:pos="9638"/>
      </w:tabs>
      <w:jc w:val="left"/>
    </w:pPr>
  </w:style>
  <w:style w:type="paragraph" w:customStyle="1" w:styleId="afff6">
    <w:name w:val="Верхний колонтитул справа"/>
    <w:basedOn w:val="a1"/>
    <w:qFormat/>
    <w:pPr>
      <w:tabs>
        <w:tab w:val="center" w:pos="4819"/>
        <w:tab w:val="right" w:pos="9638"/>
      </w:tabs>
      <w:jc w:val="right"/>
    </w:pPr>
  </w:style>
  <w:style w:type="paragraph" w:styleId="afff7">
    <w:name w:val="footer"/>
    <w:basedOn w:val="a1"/>
    <w:pPr>
      <w:tabs>
        <w:tab w:val="center" w:pos="4819"/>
        <w:tab w:val="right" w:pos="9638"/>
      </w:tabs>
    </w:pPr>
  </w:style>
  <w:style w:type="paragraph" w:customStyle="1" w:styleId="afff8">
    <w:name w:val="Нижний колонтитул слева"/>
    <w:basedOn w:val="a1"/>
    <w:qFormat/>
    <w:pPr>
      <w:tabs>
        <w:tab w:val="center" w:pos="4819"/>
        <w:tab w:val="right" w:pos="9638"/>
      </w:tabs>
      <w:jc w:val="left"/>
    </w:pPr>
  </w:style>
  <w:style w:type="paragraph" w:customStyle="1" w:styleId="afff9">
    <w:name w:val="Нижний колонтитул справа"/>
    <w:basedOn w:val="a1"/>
    <w:qFormat/>
    <w:pPr>
      <w:tabs>
        <w:tab w:val="center" w:pos="4819"/>
        <w:tab w:val="right" w:pos="9638"/>
      </w:tabs>
      <w:jc w:val="right"/>
    </w:pPr>
  </w:style>
  <w:style w:type="paragraph" w:customStyle="1" w:styleId="afffa">
    <w:name w:val="Содержимое таблицы"/>
    <w:basedOn w:val="a1"/>
    <w:qFormat/>
  </w:style>
  <w:style w:type="paragraph" w:customStyle="1" w:styleId="afffb">
    <w:name w:val="Заголовок таблицы"/>
    <w:basedOn w:val="afffa"/>
    <w:qFormat/>
    <w:rPr>
      <w:b/>
    </w:rPr>
  </w:style>
  <w:style w:type="paragraph" w:customStyle="1" w:styleId="afffc">
    <w:name w:val="Иллюстрация"/>
    <w:basedOn w:val="aff2"/>
    <w:qFormat/>
  </w:style>
  <w:style w:type="paragraph" w:customStyle="1" w:styleId="afffd">
    <w:name w:val="Таблица"/>
    <w:basedOn w:val="aff2"/>
    <w:qFormat/>
  </w:style>
  <w:style w:type="paragraph" w:styleId="afffe">
    <w:name w:val="Plain Text"/>
    <w:basedOn w:val="aff2"/>
    <w:qFormat/>
  </w:style>
  <w:style w:type="paragraph" w:customStyle="1" w:styleId="affff">
    <w:name w:val="Содержимое врезки"/>
    <w:basedOn w:val="a1"/>
    <w:qFormat/>
  </w:style>
  <w:style w:type="paragraph" w:styleId="affff0">
    <w:name w:val="footnote text"/>
    <w:basedOn w:val="a1"/>
    <w:pPr>
      <w:jc w:val="left"/>
    </w:pPr>
  </w:style>
  <w:style w:type="paragraph" w:styleId="affff1">
    <w:name w:val="envelope address"/>
    <w:basedOn w:val="a1"/>
  </w:style>
  <w:style w:type="paragraph" w:styleId="2b">
    <w:name w:val="envelope return"/>
    <w:basedOn w:val="a1"/>
  </w:style>
  <w:style w:type="paragraph" w:styleId="affff2">
    <w:name w:val="endnote text"/>
    <w:basedOn w:val="a1"/>
  </w:style>
  <w:style w:type="paragraph" w:customStyle="1" w:styleId="affff3">
    <w:name w:val="Рисунок"/>
    <w:basedOn w:val="aff2"/>
    <w:qFormat/>
  </w:style>
  <w:style w:type="paragraph" w:customStyle="1" w:styleId="affff4">
    <w:name w:val="Текст в заданном формате"/>
    <w:basedOn w:val="a1"/>
    <w:qFormat/>
  </w:style>
  <w:style w:type="paragraph" w:customStyle="1" w:styleId="affff5">
    <w:name w:val="Горизонтальная линия"/>
    <w:basedOn w:val="a1"/>
    <w:next w:val="a4"/>
    <w:qFormat/>
    <w:pPr>
      <w:pBdr>
        <w:bottom w:val="single" w:sz="8" w:space="0" w:color="000000"/>
      </w:pBdr>
    </w:pPr>
    <w:rPr>
      <w:sz w:val="4"/>
    </w:rPr>
  </w:style>
  <w:style w:type="paragraph" w:customStyle="1" w:styleId="affff6">
    <w:name w:val="Содержимое списка"/>
    <w:basedOn w:val="a1"/>
    <w:qFormat/>
  </w:style>
  <w:style w:type="paragraph" w:customStyle="1" w:styleId="affff7">
    <w:name w:val="Заголовок списка"/>
    <w:basedOn w:val="a1"/>
    <w:next w:val="affff6"/>
    <w:qFormat/>
  </w:style>
  <w:style w:type="paragraph" w:customStyle="1" w:styleId="affff8">
    <w:name w:val="Гриф_Экземпляр"/>
    <w:basedOn w:val="a1"/>
    <w:qFormat/>
    <w:rPr>
      <w:sz w:val="24"/>
    </w:rPr>
  </w:style>
  <w:style w:type="paragraph" w:customStyle="1" w:styleId="affff9">
    <w:name w:val="Исполнитель документа"/>
    <w:basedOn w:val="a1"/>
    <w:qFormat/>
    <w:pPr>
      <w:jc w:val="left"/>
    </w:pPr>
    <w:rPr>
      <w:sz w:val="24"/>
    </w:rPr>
  </w:style>
  <w:style w:type="paragraph" w:customStyle="1" w:styleId="affffa">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 w:type="character" w:customStyle="1" w:styleId="ezkurwreuab5ozgtqnkl">
    <w:name w:val="ezkurwreuab5ozgtqnkl"/>
    <w:basedOn w:val="a5"/>
    <w:rsid w:val="005F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tenia@len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Карина Робертовна Киносян</cp:lastModifiedBy>
  <cp:revision>4</cp:revision>
  <dcterms:created xsi:type="dcterms:W3CDTF">2025-02-25T06:36:00Z</dcterms:created>
  <dcterms:modified xsi:type="dcterms:W3CDTF">2025-02-28T06:20:00Z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2025-02-24T13:35:48Z</dcterms:created>
  <dc:creator/>
  <dc:description/>
  <dc:language>ru-RU</dc:language>
  <cp:lastModifiedBy/>
  <dcterms:modified xsi:type="dcterms:W3CDTF">2025-02-24T14:32:12Z</dcterms:modified>
  <cp:revision>2</cp:revision>
  <dc:subject/>
  <dc:title>Default</dc:title>
</cp:coreProperties>
</file>